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28D6" w14:textId="77777777" w:rsidR="00A60BF6" w:rsidRPr="00A60BF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UNIVERSITY OF PORT HARCOURT MUSEUM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From: Director</w:t>
      </w:r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Ref No: UPH/UPM/03</w:t>
      </w:r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Date: 05/12/22</w:t>
      </w:r>
    </w:p>
    <w:p w14:paraId="681595F9" w14:textId="77777777" w:rsidR="00A60BF6" w:rsidRPr="00A60BF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</w:pPr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To: The VC</w:t>
      </w:r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 xml:space="preserve">Thru: The DVC </w:t>
      </w:r>
      <w:proofErr w:type="spellStart"/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R&amp;</w:t>
      </w:r>
      <w:proofErr w:type="gramStart"/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amp;D</w:t>
      </w:r>
      <w:proofErr w:type="spellEnd"/>
      <w:proofErr w:type="gramEnd"/>
    </w:p>
    <w:p w14:paraId="1F275171" w14:textId="5D14FE42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t>ANNUAL REPORT 2022</w:t>
      </w:r>
      <w:r w:rsidRPr="00A60BF6">
        <w:rPr>
          <w:rFonts w:ascii="Karla" w:eastAsia="Times New Roman" w:hAnsi="Karla" w:cs="Times New Roman"/>
          <w:b/>
          <w:bCs/>
          <w:color w:val="223645"/>
          <w:spacing w:val="2"/>
          <w:sz w:val="24"/>
          <w:szCs w:val="24"/>
          <w:lang w:eastAsia="en-NG"/>
        </w:rPr>
        <w:br/>
        <w:t>Name of Unit: University of Port Harcourt Museum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University of Port Harcourt Museum is a Public Service Unit servicing very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many Departments, Units, Centres, seminar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prorammes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across the University,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university cognate communities and affiliate bodies within and outside Port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Harcourt. It is under the Ministries of Information; Culture and Tourism;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Education; </w:t>
      </w:r>
      <w:proofErr w:type="spellStart"/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Environmen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;,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Labour and Productivity.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rational and philosophy behind the University of Port Harcourt are to research,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present, and project the cultural elements of our people with special focus on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Niger Delta. It is aimed at having a plausible intercultural communication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development thereto.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University of Port Harcourt Museum was established in 1986 under the good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thought and action of the then Dr. C.N.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Nzewunwa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and Emeritus Prof. E.J.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Alagoa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With the approval from the NUC, the University of Port Harcourt Senate and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Board of Faculty of Humanities where both staff above were, the Museum was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officially birthed. It was assigned the number backing it so to have a national legal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right to become established and operate accordingly.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museum has an administrative structure with its Director at its apex, followed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by the Curator, the Museum Superintendent, the Museum laboratory attendants, the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Secretary to the Director, a few other administrative officials including the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clarks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messengers, drivers, and cleaner.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The museum complex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have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 set of galleries for cultural exhibitions. It has a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special room for hands-on activities, a reception/foyer for initial interaction with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visitors, and the surroundings for immediate outreach programmes. The Director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is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in charge of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the operational activities of the museum and the other responsibilities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are shared accordingly among the entire staff of the unit.</w:t>
      </w:r>
    </w:p>
    <w:p w14:paraId="426C29AD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2</w:t>
      </w:r>
    </w:p>
    <w:p w14:paraId="4A87B294" w14:textId="5F0B0B85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The museum serves as laboratory for many programmes in and outside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University of Port Harcourt. It helps in organizing field activities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e.g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in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Archaeology, Sociology, Fine Art and Design, Religious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And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Cultural Studies,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Hospitality and Tourism and other related discipline. It holds workshops,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conferences periodically targeted at certain academic programmes in the university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beyond.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The museum has robust communication channels through which it reaches the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wilder audience on its programme of activities from time to time.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museum is constantly related to by the Federal Government. This was recently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observe as the National Commission for Museum and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Monumen’st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(NCMM)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Director General sent a delegation requesting to know how it is faring within the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university.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The university of Port Harcourt Museum is not a degree awarding institution but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had recently trained and certified some officials of the Rivers State Council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Traditional Rulers and Chiefs under the able leadership of King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Dandison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Jaja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Jeki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V,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Amanyanabo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of Opobo, the Chairman, and Emeritus Prof. E.J.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Alagoa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the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C.E.O of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Onyoma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Research Publication.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The museum is funded by the University of Port Harcourt being a Public Service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Unit under the Vice Chancellor’s office. It also in a position to receive funding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from the Federal Government, State, and the Local Governments, cultural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agencies, cooperate bodies, individuals and organizations from across the world.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The museum is part of the system in the University of Port Harcourt and as well is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under the blessed scrutiny of the Quality Assurance and Quality Control Services.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Not only that, 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there are</w:t>
      </w:r>
      <w:proofErr w:type="gram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the usual administrative checks and balances within its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daily operations to ensure that the best services are rendered.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The museum is multi-faceted and has in such capacity served the Nigeria Police,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diverse agencies in the Armed Forces of Nigeria and the parastatals, communities,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government at different level, social groups in the coordinate areas of its operations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more. It has in this way helped in educating, enlightening and adding value to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these entities in the overall wellbeing and development of our dear country Nigeria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and more.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With regards to Community Service, the museum has since its inception played the</w:t>
      </w:r>
      <w:r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pivotal role in reaching out to communities around the university near and far with</w:t>
      </w:r>
      <w:r w:rsidR="00846016"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the cultural awareness and promotion for positive behaviourism.</w:t>
      </w:r>
    </w:p>
    <w:p w14:paraId="52DAC4B6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3</w:t>
      </w:r>
    </w:p>
    <w:p w14:paraId="2DB95801" w14:textId="1EFDAB5A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Its doors are open to the general public as they are invited constantly through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periodic jingles, fliers, posters, banners, social programmes, publications of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 and programme round the museum and more.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Museum has since 2021 began a set of programmes that would last for the next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five years through which it intends to deliver goods services and productivity.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University of Port Harcourt Museum has contributed to the growth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development of University of Port Harcourt, Rivers State and some other states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such as; Sokoto, Kebbi, Plateau,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Abia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, Imo, Bayelsa,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Akwa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Ibom, Cross River,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Bornu, Kaduna, Kogi, Edo, Oyo,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Kwara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, Benue, Anambra, Delta, Ebonyi, and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Taraba in the ways of excavations and other archaeological and anthropological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research activities in these palaces that have added values to the socio-economic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development.</w:t>
      </w:r>
      <w:r w:rsidR="00846016"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The museum needs support from the management in transferring useful staff to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itand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 aiding the renovation of its old building complex which has been partially</w:t>
      </w:r>
      <w:r w:rsidR="00846016"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damaged by the earlier occupants and the vagaries of age and the programme of</w:t>
      </w:r>
      <w:r w:rsidR="00846016"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activities it has positioned itself to achieve.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The entire Management and Staff of the University of Port Harcourt Museum wish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to felicitate with the Vice Chancellor and Management of University of Port</w:t>
      </w:r>
      <w:r w:rsidR="00846016">
        <w:rPr>
          <w:rFonts w:ascii="Karla" w:eastAsia="Times New Roman" w:hAnsi="Karla" w:cs="Times New Roman"/>
          <w:color w:val="223645"/>
          <w:spacing w:val="2"/>
          <w:sz w:val="24"/>
          <w:szCs w:val="24"/>
          <w:lang w:val="en-US" w:eastAsia="en-NG"/>
        </w:rPr>
        <w:t xml:space="preserve"> 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Harcourt as we are happy serving in this regard.</w:t>
      </w:r>
    </w:p>
    <w:p w14:paraId="3A71E8B1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Complement of the Season!</w:t>
      </w:r>
    </w:p>
    <w:p w14:paraId="3EF8AF55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Prof. S.I.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Okoroafor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Director</w:t>
      </w:r>
    </w:p>
    <w:p w14:paraId="656B3255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lastRenderedPageBreak/>
        <w:t>4</w:t>
      </w:r>
    </w:p>
    <w:p w14:paraId="5C76DAA4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UNIVERSITY OF PORT HARCOURT MUSEUM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From: Director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Ref No: UPH/UPM/03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Date: 05/12/22</w:t>
      </w:r>
    </w:p>
    <w:p w14:paraId="56AEB7C5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To: The VC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 xml:space="preserve">Thru: The DVC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R&amp;</w:t>
      </w:r>
      <w:proofErr w:type="gram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amp;D</w:t>
      </w:r>
      <w:proofErr w:type="spellEnd"/>
      <w:proofErr w:type="gramEnd"/>
    </w:p>
    <w:p w14:paraId="07CCD384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Kindly receive the soft and hard copies of the University of Port Harcourt</w:t>
      </w: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Museum’s Annual Report (2022) as was officially requested.</w:t>
      </w:r>
    </w:p>
    <w:p w14:paraId="57DB255A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Yours sincerely,</w:t>
      </w:r>
    </w:p>
    <w:p w14:paraId="0D34C298" w14:textId="77777777" w:rsidR="00A60BF6" w:rsidRPr="00193446" w:rsidRDefault="00A60BF6" w:rsidP="00A60BF6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</w:pPr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 xml:space="preserve">Prof. S.I. </w:t>
      </w:r>
      <w:proofErr w:type="spellStart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t>Okoroafor</w:t>
      </w:r>
      <w:proofErr w:type="spellEnd"/>
      <w:r w:rsidRPr="00193446">
        <w:rPr>
          <w:rFonts w:ascii="Karla" w:eastAsia="Times New Roman" w:hAnsi="Karla" w:cs="Times New Roman"/>
          <w:color w:val="223645"/>
          <w:spacing w:val="2"/>
          <w:sz w:val="24"/>
          <w:szCs w:val="24"/>
          <w:lang w:eastAsia="en-NG"/>
        </w:rPr>
        <w:br/>
        <w:t>Director</w:t>
      </w:r>
    </w:p>
    <w:p w14:paraId="2713F6AD" w14:textId="77777777" w:rsidR="00694AF7" w:rsidRDefault="00694AF7"/>
    <w:sectPr w:rsidR="00694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F6"/>
    <w:rsid w:val="00694AF7"/>
    <w:rsid w:val="00846016"/>
    <w:rsid w:val="00A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053D"/>
  <w15:chartTrackingRefBased/>
  <w15:docId w15:val="{9A20E1BD-E30D-4C4B-95E4-4656905C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2023-02-20T10:32:00Z</dcterms:created>
  <dcterms:modified xsi:type="dcterms:W3CDTF">2023-02-20T10:47:00Z</dcterms:modified>
</cp:coreProperties>
</file>